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6F98" w14:textId="0218294D" w:rsidR="00392585" w:rsidRPr="00C80B8A" w:rsidRDefault="00911B5B" w:rsidP="00BE3B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80B8A" w:rsidRPr="00C80B8A">
        <w:rPr>
          <w:b/>
          <w:bCs/>
          <w:sz w:val="28"/>
          <w:szCs w:val="28"/>
        </w:rPr>
        <w:t xml:space="preserve">LEGAL NOTICE - </w:t>
      </w:r>
      <w:r w:rsidR="00671251">
        <w:rPr>
          <w:b/>
          <w:bCs/>
          <w:sz w:val="28"/>
          <w:szCs w:val="28"/>
        </w:rPr>
        <w:t xml:space="preserve">ORDINANCE NO. </w:t>
      </w:r>
      <w:r w:rsidR="00CA61CE">
        <w:rPr>
          <w:b/>
          <w:bCs/>
          <w:sz w:val="28"/>
          <w:szCs w:val="28"/>
        </w:rPr>
        <w:t>201</w:t>
      </w:r>
    </w:p>
    <w:p w14:paraId="09FDCA8D" w14:textId="77777777" w:rsidR="00BE3B8C" w:rsidRPr="00B101C8" w:rsidRDefault="00BE3B8C" w:rsidP="00BE3B8C">
      <w:pPr>
        <w:jc w:val="center"/>
        <w:rPr>
          <w:b/>
          <w:bCs/>
          <w:sz w:val="24"/>
          <w:szCs w:val="24"/>
        </w:rPr>
      </w:pPr>
    </w:p>
    <w:p w14:paraId="68503CC4" w14:textId="77777777" w:rsidR="004109B8" w:rsidRDefault="00BE3B8C" w:rsidP="004109B8">
      <w:pPr>
        <w:jc w:val="center"/>
        <w:rPr>
          <w:rFonts w:eastAsia="Times New Roman"/>
          <w:b/>
          <w:sz w:val="24"/>
          <w:szCs w:val="24"/>
        </w:rPr>
      </w:pPr>
      <w:r w:rsidRPr="0074310C">
        <w:rPr>
          <w:b/>
          <w:bCs/>
          <w:sz w:val="24"/>
          <w:szCs w:val="24"/>
        </w:rPr>
        <w:t xml:space="preserve">AN ORDINANCE </w:t>
      </w:r>
      <w:r w:rsidR="00286587">
        <w:rPr>
          <w:b/>
          <w:bCs/>
          <w:sz w:val="24"/>
          <w:szCs w:val="24"/>
        </w:rPr>
        <w:t>AMENDING CHAPTER 1</w:t>
      </w:r>
      <w:r w:rsidR="00A35CD6">
        <w:rPr>
          <w:b/>
          <w:bCs/>
          <w:sz w:val="24"/>
          <w:szCs w:val="24"/>
        </w:rPr>
        <w:t xml:space="preserve">, </w:t>
      </w:r>
      <w:r w:rsidR="004109B8" w:rsidRPr="004109B8">
        <w:rPr>
          <w:rFonts w:eastAsia="Times New Roman"/>
          <w:b/>
          <w:sz w:val="24"/>
          <w:szCs w:val="24"/>
        </w:rPr>
        <w:t xml:space="preserve">AN ORDINANCE REGULATING </w:t>
      </w:r>
      <w:r w:rsidR="00CF674D" w:rsidRPr="0074310C">
        <w:rPr>
          <w:b/>
          <w:bCs/>
          <w:sz w:val="24"/>
          <w:szCs w:val="24"/>
        </w:rPr>
        <w:t>SOLID WASTE, RECYCLABLE AND ORGANIC MATERIALS, AND THE COLLECTION, REMOVAL AND DISPOSAL THEREOF</w:t>
      </w:r>
      <w:r w:rsidR="004109B8" w:rsidRPr="004109B8">
        <w:rPr>
          <w:rFonts w:eastAsia="Times New Roman"/>
          <w:b/>
          <w:sz w:val="24"/>
          <w:szCs w:val="24"/>
        </w:rPr>
        <w:t xml:space="preserve">, </w:t>
      </w:r>
      <w:r w:rsidR="00A35CD6">
        <w:rPr>
          <w:b/>
          <w:bCs/>
          <w:sz w:val="24"/>
          <w:szCs w:val="24"/>
        </w:rPr>
        <w:t xml:space="preserve">TITLE 4 – GARBAGE SERVICE, </w:t>
      </w:r>
      <w:r w:rsidR="004109B8" w:rsidRPr="004109B8">
        <w:rPr>
          <w:rFonts w:eastAsia="Times New Roman"/>
          <w:b/>
          <w:sz w:val="24"/>
          <w:szCs w:val="24"/>
        </w:rPr>
        <w:t>AS AMENDED, OF THE ORDINANCE CODE OF THE LAS GA</w:t>
      </w:r>
      <w:r w:rsidR="00C80B8A">
        <w:rPr>
          <w:rFonts w:eastAsia="Times New Roman"/>
          <w:b/>
          <w:sz w:val="24"/>
          <w:szCs w:val="24"/>
        </w:rPr>
        <w:t>LLINAS VALLEY SANITARY DISTRICT</w:t>
      </w:r>
    </w:p>
    <w:p w14:paraId="69381839" w14:textId="77777777" w:rsidR="00C80B8A" w:rsidRPr="004109B8" w:rsidRDefault="00C80B8A" w:rsidP="004109B8">
      <w:pPr>
        <w:jc w:val="center"/>
        <w:rPr>
          <w:rFonts w:eastAsia="Times New Roman"/>
          <w:b/>
          <w:sz w:val="24"/>
          <w:szCs w:val="24"/>
        </w:rPr>
      </w:pPr>
    </w:p>
    <w:p w14:paraId="28062790" w14:textId="5D2F4998" w:rsidR="00C80B8A" w:rsidRPr="00C80B8A" w:rsidRDefault="00C80B8A" w:rsidP="00C80B8A">
      <w:pPr>
        <w:rPr>
          <w:bCs/>
          <w:sz w:val="24"/>
          <w:szCs w:val="24"/>
        </w:rPr>
      </w:pPr>
      <w:r w:rsidRPr="00C80B8A">
        <w:rPr>
          <w:bCs/>
          <w:sz w:val="24"/>
          <w:szCs w:val="24"/>
        </w:rPr>
        <w:t xml:space="preserve">Pursuant </w:t>
      </w:r>
      <w:r>
        <w:rPr>
          <w:bCs/>
          <w:sz w:val="24"/>
          <w:szCs w:val="24"/>
        </w:rPr>
        <w:t xml:space="preserve">to Health &amp; Safety Code § 6490 </w:t>
      </w:r>
      <w:r w:rsidRPr="00C80B8A">
        <w:rPr>
          <w:bCs/>
          <w:sz w:val="24"/>
          <w:szCs w:val="24"/>
        </w:rPr>
        <w:t xml:space="preserve">and 6491.3, the Board of Directors of the Las Gallinas Valley Sanitary </w:t>
      </w:r>
      <w:proofErr w:type="gramStart"/>
      <w:r w:rsidRPr="00C80B8A">
        <w:rPr>
          <w:bCs/>
          <w:sz w:val="24"/>
          <w:szCs w:val="24"/>
        </w:rPr>
        <w:t>Dist</w:t>
      </w:r>
      <w:r>
        <w:rPr>
          <w:bCs/>
          <w:sz w:val="24"/>
          <w:szCs w:val="24"/>
        </w:rPr>
        <w:t>rict,</w:t>
      </w:r>
      <w:proofErr w:type="gramEnd"/>
      <w:r>
        <w:rPr>
          <w:bCs/>
          <w:sz w:val="24"/>
          <w:szCs w:val="24"/>
        </w:rPr>
        <w:t xml:space="preserve"> approved </w:t>
      </w:r>
      <w:r w:rsidRPr="00867093">
        <w:rPr>
          <w:bCs/>
          <w:sz w:val="24"/>
          <w:szCs w:val="24"/>
        </w:rPr>
        <w:t xml:space="preserve">Ordinance </w:t>
      </w:r>
      <w:r w:rsidR="009006FA" w:rsidRPr="00867093">
        <w:rPr>
          <w:bCs/>
          <w:sz w:val="24"/>
          <w:szCs w:val="24"/>
        </w:rPr>
        <w:t xml:space="preserve">No. </w:t>
      </w:r>
      <w:r w:rsidR="00955B06">
        <w:rPr>
          <w:bCs/>
          <w:sz w:val="24"/>
          <w:szCs w:val="24"/>
        </w:rPr>
        <w:t>201</w:t>
      </w:r>
      <w:r w:rsidR="00F03594">
        <w:rPr>
          <w:bCs/>
          <w:sz w:val="24"/>
          <w:szCs w:val="24"/>
        </w:rPr>
        <w:t xml:space="preserve"> </w:t>
      </w:r>
      <w:r w:rsidRPr="00867093">
        <w:rPr>
          <w:bCs/>
          <w:sz w:val="24"/>
          <w:szCs w:val="24"/>
        </w:rPr>
        <w:t xml:space="preserve">on </w:t>
      </w:r>
      <w:r w:rsidR="00867093" w:rsidRPr="00867093">
        <w:rPr>
          <w:bCs/>
          <w:sz w:val="24"/>
          <w:szCs w:val="24"/>
        </w:rPr>
        <w:t>December 1</w:t>
      </w:r>
      <w:r w:rsidR="00955B06">
        <w:rPr>
          <w:bCs/>
          <w:sz w:val="24"/>
          <w:szCs w:val="24"/>
        </w:rPr>
        <w:t>8</w:t>
      </w:r>
      <w:r w:rsidR="00305BC0">
        <w:rPr>
          <w:bCs/>
          <w:sz w:val="24"/>
          <w:szCs w:val="24"/>
        </w:rPr>
        <w:t>,</w:t>
      </w:r>
      <w:r w:rsidR="00F03594">
        <w:rPr>
          <w:bCs/>
          <w:sz w:val="24"/>
          <w:szCs w:val="24"/>
        </w:rPr>
        <w:t xml:space="preserve"> 202</w:t>
      </w:r>
      <w:r w:rsidR="00955B06">
        <w:rPr>
          <w:bCs/>
          <w:sz w:val="24"/>
          <w:szCs w:val="24"/>
        </w:rPr>
        <w:t>5</w:t>
      </w:r>
      <w:r w:rsidRPr="00867093">
        <w:rPr>
          <w:bCs/>
          <w:sz w:val="24"/>
          <w:szCs w:val="24"/>
        </w:rPr>
        <w:t>:</w:t>
      </w:r>
    </w:p>
    <w:p w14:paraId="0F288586" w14:textId="77777777" w:rsidR="004109B8" w:rsidRDefault="004109B8" w:rsidP="00BE3B8C">
      <w:pPr>
        <w:jc w:val="center"/>
        <w:rPr>
          <w:b/>
          <w:bCs/>
          <w:sz w:val="24"/>
          <w:szCs w:val="24"/>
        </w:rPr>
      </w:pPr>
    </w:p>
    <w:p w14:paraId="209720BA" w14:textId="15511606" w:rsidR="004109B8" w:rsidRDefault="004109B8" w:rsidP="004109B8">
      <w:pPr>
        <w:autoSpaceDE/>
        <w:autoSpaceDN/>
        <w:adjustRightInd/>
        <w:rPr>
          <w:rFonts w:eastAsia="Times New Roman"/>
          <w:bCs/>
          <w:sz w:val="24"/>
          <w:szCs w:val="24"/>
        </w:rPr>
      </w:pPr>
      <w:r w:rsidRPr="0074310C">
        <w:rPr>
          <w:rFonts w:eastAsia="Times New Roman"/>
          <w:sz w:val="24"/>
          <w:szCs w:val="24"/>
        </w:rPr>
        <w:t>The Las Gallinas Valley Sanitary District</w:t>
      </w:r>
      <w:r w:rsidR="009006FA">
        <w:rPr>
          <w:rFonts w:eastAsia="Times New Roman"/>
          <w:sz w:val="24"/>
          <w:szCs w:val="24"/>
        </w:rPr>
        <w:t xml:space="preserve"> has passed Ordinance </w:t>
      </w:r>
      <w:r w:rsidR="00955B06">
        <w:rPr>
          <w:rFonts w:eastAsia="Times New Roman"/>
          <w:sz w:val="24"/>
          <w:szCs w:val="24"/>
        </w:rPr>
        <w:t>201</w:t>
      </w:r>
      <w:r w:rsidR="00911B5B">
        <w:rPr>
          <w:rFonts w:eastAsia="Times New Roman"/>
          <w:sz w:val="24"/>
          <w:szCs w:val="24"/>
        </w:rPr>
        <w:t xml:space="preserve"> </w:t>
      </w:r>
      <w:r w:rsidR="00986960">
        <w:rPr>
          <w:rFonts w:eastAsia="Times New Roman"/>
          <w:sz w:val="24"/>
          <w:szCs w:val="24"/>
        </w:rPr>
        <w:t>entitled</w:t>
      </w:r>
      <w:r w:rsidR="00986960" w:rsidRPr="00986960">
        <w:rPr>
          <w:b/>
          <w:bCs/>
          <w:sz w:val="24"/>
          <w:szCs w:val="24"/>
        </w:rPr>
        <w:t xml:space="preserve"> </w:t>
      </w:r>
      <w:r w:rsidR="00986960" w:rsidRPr="00986960">
        <w:rPr>
          <w:rFonts w:eastAsia="Times New Roman"/>
          <w:bCs/>
          <w:sz w:val="24"/>
          <w:szCs w:val="24"/>
        </w:rPr>
        <w:t xml:space="preserve">An Ordinance Amending Chapter 1, </w:t>
      </w:r>
      <w:r w:rsidR="00986960">
        <w:rPr>
          <w:rFonts w:eastAsia="Times New Roman"/>
          <w:sz w:val="24"/>
          <w:szCs w:val="24"/>
        </w:rPr>
        <w:t>a</w:t>
      </w:r>
      <w:r w:rsidR="00986960" w:rsidRPr="00986960">
        <w:rPr>
          <w:rFonts w:eastAsia="Times New Roman"/>
          <w:sz w:val="24"/>
          <w:szCs w:val="24"/>
        </w:rPr>
        <w:t xml:space="preserve">n Ordinance Regulating </w:t>
      </w:r>
      <w:r w:rsidR="00986960">
        <w:rPr>
          <w:rFonts w:eastAsia="Times New Roman"/>
          <w:bCs/>
          <w:sz w:val="24"/>
          <w:szCs w:val="24"/>
        </w:rPr>
        <w:t>Solid Waste, Recyclable and Organic Materials, and The Collection, Removal a</w:t>
      </w:r>
      <w:r w:rsidR="00986960" w:rsidRPr="00986960">
        <w:rPr>
          <w:rFonts w:eastAsia="Times New Roman"/>
          <w:bCs/>
          <w:sz w:val="24"/>
          <w:szCs w:val="24"/>
        </w:rPr>
        <w:t>nd Disposal Thereof</w:t>
      </w:r>
      <w:r w:rsidR="00986960" w:rsidRPr="00986960">
        <w:rPr>
          <w:rFonts w:eastAsia="Times New Roman"/>
          <w:sz w:val="24"/>
          <w:szCs w:val="24"/>
        </w:rPr>
        <w:t xml:space="preserve">, </w:t>
      </w:r>
      <w:r w:rsidR="00986960" w:rsidRPr="00986960">
        <w:rPr>
          <w:rFonts w:eastAsia="Times New Roman"/>
          <w:bCs/>
          <w:sz w:val="24"/>
          <w:szCs w:val="24"/>
        </w:rPr>
        <w:t>Title 4 – Garbage Service</w:t>
      </w:r>
      <w:r w:rsidR="00986960">
        <w:rPr>
          <w:rFonts w:eastAsia="Times New Roman"/>
          <w:bCs/>
          <w:sz w:val="24"/>
          <w:szCs w:val="24"/>
        </w:rPr>
        <w:t>.  The ordinance amends Appendix A of Title 4, Chapter 1 to increase the refuse collection</w:t>
      </w:r>
      <w:r w:rsidR="009006FA">
        <w:rPr>
          <w:rFonts w:eastAsia="Times New Roman"/>
          <w:bCs/>
          <w:sz w:val="24"/>
          <w:szCs w:val="24"/>
        </w:rPr>
        <w:t xml:space="preserve"> rates effective January 1, </w:t>
      </w:r>
      <w:proofErr w:type="gramStart"/>
      <w:r w:rsidR="009006FA">
        <w:rPr>
          <w:rFonts w:eastAsia="Times New Roman"/>
          <w:bCs/>
          <w:sz w:val="24"/>
          <w:szCs w:val="24"/>
        </w:rPr>
        <w:t>20</w:t>
      </w:r>
      <w:r w:rsidR="007E62C2">
        <w:rPr>
          <w:rFonts w:eastAsia="Times New Roman"/>
          <w:bCs/>
          <w:sz w:val="24"/>
          <w:szCs w:val="24"/>
        </w:rPr>
        <w:t>2</w:t>
      </w:r>
      <w:r w:rsidR="00955B06">
        <w:rPr>
          <w:rFonts w:eastAsia="Times New Roman"/>
          <w:bCs/>
          <w:sz w:val="24"/>
          <w:szCs w:val="24"/>
        </w:rPr>
        <w:t>6</w:t>
      </w:r>
      <w:proofErr w:type="gramEnd"/>
      <w:r w:rsidR="00412873">
        <w:rPr>
          <w:rFonts w:eastAsia="Times New Roman"/>
          <w:bCs/>
          <w:sz w:val="24"/>
          <w:szCs w:val="24"/>
        </w:rPr>
        <w:t xml:space="preserve"> by </w:t>
      </w:r>
      <w:r w:rsidR="00421A44">
        <w:rPr>
          <w:rFonts w:eastAsia="Times New Roman"/>
          <w:bCs/>
          <w:sz w:val="24"/>
          <w:szCs w:val="24"/>
        </w:rPr>
        <w:t>3.</w:t>
      </w:r>
      <w:r w:rsidR="00955B06">
        <w:rPr>
          <w:rFonts w:eastAsia="Times New Roman"/>
          <w:bCs/>
          <w:sz w:val="24"/>
          <w:szCs w:val="24"/>
        </w:rPr>
        <w:t>87</w:t>
      </w:r>
      <w:r w:rsidR="00986960">
        <w:rPr>
          <w:rFonts w:eastAsia="Times New Roman"/>
          <w:bCs/>
          <w:sz w:val="24"/>
          <w:szCs w:val="24"/>
        </w:rPr>
        <w:t>%.</w:t>
      </w:r>
    </w:p>
    <w:p w14:paraId="60CF3824" w14:textId="77777777" w:rsidR="00986960" w:rsidRDefault="00986960" w:rsidP="004109B8">
      <w:pPr>
        <w:autoSpaceDE/>
        <w:autoSpaceDN/>
        <w:adjustRightInd/>
        <w:rPr>
          <w:rFonts w:eastAsia="Times New Roman"/>
          <w:bCs/>
          <w:sz w:val="24"/>
          <w:szCs w:val="24"/>
        </w:rPr>
      </w:pPr>
    </w:p>
    <w:p w14:paraId="08A99C3E" w14:textId="77777777" w:rsidR="00986960" w:rsidRDefault="00986960" w:rsidP="004109B8">
      <w:pPr>
        <w:autoSpaceDE/>
        <w:autoSpaceDN/>
        <w:adjustRightInd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The most common residential, multi-family and commercial services will be increased as follows:</w:t>
      </w:r>
    </w:p>
    <w:p w14:paraId="6DDB9DDC" w14:textId="77777777" w:rsidR="00986960" w:rsidRDefault="00986960" w:rsidP="004109B8">
      <w:pPr>
        <w:autoSpaceDE/>
        <w:autoSpaceDN/>
        <w:adjustRightInd/>
        <w:rPr>
          <w:rFonts w:eastAsia="Times New Roman"/>
          <w:bCs/>
          <w:sz w:val="24"/>
          <w:szCs w:val="24"/>
        </w:rPr>
      </w:pPr>
    </w:p>
    <w:p w14:paraId="1D43E8A0" w14:textId="77777777" w:rsidR="00986960" w:rsidRPr="00920010" w:rsidRDefault="00986960" w:rsidP="004109B8">
      <w:pPr>
        <w:autoSpaceDE/>
        <w:autoSpaceDN/>
        <w:adjustRightInd/>
        <w:rPr>
          <w:rFonts w:eastAsia="Times New Roman"/>
          <w:b/>
          <w:bCs/>
          <w:sz w:val="24"/>
          <w:szCs w:val="24"/>
        </w:rPr>
      </w:pPr>
      <w:r w:rsidRPr="00920010">
        <w:rPr>
          <w:rFonts w:eastAsia="Times New Roman"/>
          <w:b/>
          <w:bCs/>
          <w:sz w:val="24"/>
          <w:szCs w:val="24"/>
        </w:rPr>
        <w:t>Residential Service and Multi-family Cart Service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9"/>
        <w:gridCol w:w="1710"/>
        <w:gridCol w:w="1350"/>
      </w:tblGrid>
      <w:tr w:rsidR="007E62C2" w:rsidRPr="00920010" w14:paraId="267FB1DD" w14:textId="77777777" w:rsidTr="004725D3">
        <w:trPr>
          <w:trHeight w:val="413"/>
          <w:jc w:val="center"/>
        </w:trPr>
        <w:tc>
          <w:tcPr>
            <w:tcW w:w="3699" w:type="dxa"/>
            <w:vMerge w:val="restart"/>
            <w:vAlign w:val="center"/>
          </w:tcPr>
          <w:p w14:paraId="51400496" w14:textId="77777777" w:rsidR="007E62C2" w:rsidRPr="00920010" w:rsidRDefault="007E62C2" w:rsidP="00986960">
            <w:pPr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0010">
              <w:rPr>
                <w:rFonts w:eastAsia="Times New Roman"/>
                <w:b/>
                <w:sz w:val="24"/>
                <w:szCs w:val="24"/>
              </w:rPr>
              <w:t>Cart Service</w:t>
            </w:r>
          </w:p>
        </w:tc>
        <w:tc>
          <w:tcPr>
            <w:tcW w:w="3060" w:type="dxa"/>
            <w:gridSpan w:val="2"/>
            <w:vAlign w:val="center"/>
          </w:tcPr>
          <w:p w14:paraId="4F450939" w14:textId="27C9A568" w:rsidR="007E62C2" w:rsidRPr="00920010" w:rsidRDefault="007E62C2" w:rsidP="00986960">
            <w:pPr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0010">
              <w:rPr>
                <w:rFonts w:eastAsia="Times New Roman"/>
                <w:b/>
                <w:sz w:val="24"/>
                <w:szCs w:val="24"/>
              </w:rPr>
              <w:t>1/</w:t>
            </w:r>
            <w:r w:rsidR="004669C8" w:rsidRPr="00920010">
              <w:rPr>
                <w:rFonts w:eastAsia="Times New Roman"/>
                <w:b/>
                <w:sz w:val="24"/>
                <w:szCs w:val="24"/>
              </w:rPr>
              <w:t>1</w:t>
            </w:r>
            <w:r w:rsidRPr="00920010">
              <w:rPr>
                <w:rFonts w:eastAsia="Times New Roman"/>
                <w:b/>
                <w:sz w:val="24"/>
                <w:szCs w:val="24"/>
              </w:rPr>
              <w:t>/2</w:t>
            </w:r>
            <w:r w:rsidR="00E65CB7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7E62C2" w:rsidRPr="00920010" w14:paraId="6F8DBE3A" w14:textId="77777777" w:rsidTr="004725D3">
        <w:trPr>
          <w:trHeight w:val="412"/>
          <w:jc w:val="center"/>
        </w:trPr>
        <w:tc>
          <w:tcPr>
            <w:tcW w:w="3699" w:type="dxa"/>
            <w:vMerge/>
            <w:vAlign w:val="center"/>
          </w:tcPr>
          <w:p w14:paraId="0BD7432E" w14:textId="77777777" w:rsidR="007E62C2" w:rsidRPr="00920010" w:rsidRDefault="007E62C2" w:rsidP="00986960">
            <w:pPr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F9BB1D8" w14:textId="77777777" w:rsidR="007E62C2" w:rsidRPr="00920010" w:rsidRDefault="007E62C2" w:rsidP="00986960">
            <w:pPr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0010">
              <w:rPr>
                <w:rFonts w:eastAsia="Times New Roman"/>
                <w:b/>
                <w:sz w:val="24"/>
                <w:szCs w:val="24"/>
              </w:rPr>
              <w:t>Monthly</w:t>
            </w:r>
          </w:p>
        </w:tc>
        <w:tc>
          <w:tcPr>
            <w:tcW w:w="1350" w:type="dxa"/>
            <w:vAlign w:val="center"/>
          </w:tcPr>
          <w:p w14:paraId="63026FF4" w14:textId="77777777" w:rsidR="007E62C2" w:rsidRPr="00920010" w:rsidRDefault="007E62C2" w:rsidP="00986960">
            <w:pPr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0010">
              <w:rPr>
                <w:rFonts w:eastAsia="Times New Roman"/>
                <w:b/>
                <w:sz w:val="24"/>
                <w:szCs w:val="24"/>
              </w:rPr>
              <w:t>Quarterly</w:t>
            </w:r>
          </w:p>
        </w:tc>
      </w:tr>
      <w:tr w:rsidR="007E62C2" w:rsidRPr="00920010" w14:paraId="135350F1" w14:textId="77777777" w:rsidTr="004725D3">
        <w:trPr>
          <w:jc w:val="center"/>
        </w:trPr>
        <w:tc>
          <w:tcPr>
            <w:tcW w:w="3699" w:type="dxa"/>
          </w:tcPr>
          <w:p w14:paraId="2BC7A810" w14:textId="77777777" w:rsidR="007E62C2" w:rsidRPr="00920010" w:rsidRDefault="007E62C2" w:rsidP="004109B8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 xml:space="preserve">20 Gallon </w:t>
            </w:r>
          </w:p>
        </w:tc>
        <w:tc>
          <w:tcPr>
            <w:tcW w:w="1710" w:type="dxa"/>
          </w:tcPr>
          <w:p w14:paraId="51562908" w14:textId="1ABD244C" w:rsidR="007E62C2" w:rsidRPr="007D0DD8" w:rsidRDefault="007E62C2" w:rsidP="004725D3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D0DD8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42.79</w:t>
            </w:r>
          </w:p>
        </w:tc>
        <w:tc>
          <w:tcPr>
            <w:tcW w:w="1350" w:type="dxa"/>
          </w:tcPr>
          <w:p w14:paraId="7170E6CE" w14:textId="10473A94" w:rsidR="007E62C2" w:rsidRPr="007D0DD8" w:rsidRDefault="007E62C2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D0DD8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128.37</w:t>
            </w:r>
          </w:p>
        </w:tc>
      </w:tr>
      <w:tr w:rsidR="007E62C2" w:rsidRPr="00920010" w14:paraId="7B381120" w14:textId="77777777" w:rsidTr="004725D3">
        <w:trPr>
          <w:jc w:val="center"/>
        </w:trPr>
        <w:tc>
          <w:tcPr>
            <w:tcW w:w="3699" w:type="dxa"/>
          </w:tcPr>
          <w:p w14:paraId="7E54FACC" w14:textId="77777777" w:rsidR="007E62C2" w:rsidRPr="00920010" w:rsidRDefault="007E62C2" w:rsidP="004109B8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32 Gallon</w:t>
            </w:r>
          </w:p>
        </w:tc>
        <w:tc>
          <w:tcPr>
            <w:tcW w:w="1710" w:type="dxa"/>
          </w:tcPr>
          <w:p w14:paraId="6672B0E8" w14:textId="3BAA0FE4" w:rsidR="007E62C2" w:rsidRPr="007D0DD8" w:rsidRDefault="007E62C2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D0DD8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50.34</w:t>
            </w:r>
          </w:p>
        </w:tc>
        <w:tc>
          <w:tcPr>
            <w:tcW w:w="1350" w:type="dxa"/>
          </w:tcPr>
          <w:p w14:paraId="58F99E3B" w14:textId="78A2C156" w:rsidR="007E62C2" w:rsidRPr="007D0DD8" w:rsidRDefault="007E62C2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D0DD8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151.02</w:t>
            </w:r>
          </w:p>
        </w:tc>
      </w:tr>
      <w:tr w:rsidR="007E62C2" w:rsidRPr="00920010" w14:paraId="08337A8F" w14:textId="77777777" w:rsidTr="004725D3">
        <w:trPr>
          <w:jc w:val="center"/>
        </w:trPr>
        <w:tc>
          <w:tcPr>
            <w:tcW w:w="3699" w:type="dxa"/>
          </w:tcPr>
          <w:p w14:paraId="30F5F4B5" w14:textId="77777777" w:rsidR="007E62C2" w:rsidRPr="00920010" w:rsidRDefault="007E62C2" w:rsidP="004109B8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64 Gallon</w:t>
            </w:r>
          </w:p>
        </w:tc>
        <w:tc>
          <w:tcPr>
            <w:tcW w:w="1710" w:type="dxa"/>
          </w:tcPr>
          <w:p w14:paraId="78B4AF56" w14:textId="4DE4A7B1" w:rsidR="007E62C2" w:rsidRPr="007D0DD8" w:rsidRDefault="007E62C2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D0DD8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100.68</w:t>
            </w:r>
          </w:p>
        </w:tc>
        <w:tc>
          <w:tcPr>
            <w:tcW w:w="1350" w:type="dxa"/>
          </w:tcPr>
          <w:p w14:paraId="46B77C97" w14:textId="73E1DB35" w:rsidR="007E62C2" w:rsidRPr="007D0DD8" w:rsidRDefault="007E62C2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D0DD8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302.04</w:t>
            </w:r>
          </w:p>
        </w:tc>
      </w:tr>
      <w:tr w:rsidR="007E62C2" w:rsidRPr="004669C8" w14:paraId="3A401474" w14:textId="77777777" w:rsidTr="004725D3">
        <w:trPr>
          <w:trHeight w:val="188"/>
          <w:jc w:val="center"/>
        </w:trPr>
        <w:tc>
          <w:tcPr>
            <w:tcW w:w="3699" w:type="dxa"/>
          </w:tcPr>
          <w:p w14:paraId="39F1814A" w14:textId="77777777" w:rsidR="007E62C2" w:rsidRPr="00920010" w:rsidRDefault="007E62C2" w:rsidP="004109B8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96 Gallon</w:t>
            </w:r>
          </w:p>
        </w:tc>
        <w:tc>
          <w:tcPr>
            <w:tcW w:w="1710" w:type="dxa"/>
          </w:tcPr>
          <w:p w14:paraId="06D52C3B" w14:textId="0AA5E8B5" w:rsidR="007E62C2" w:rsidRPr="007D0DD8" w:rsidRDefault="007E62C2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D0DD8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151.02</w:t>
            </w:r>
          </w:p>
        </w:tc>
        <w:tc>
          <w:tcPr>
            <w:tcW w:w="1350" w:type="dxa"/>
          </w:tcPr>
          <w:p w14:paraId="3B0E9A3E" w14:textId="6112C2E0" w:rsidR="007E62C2" w:rsidRPr="007D0DD8" w:rsidRDefault="007E62C2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D0DD8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453.0</w:t>
            </w:r>
            <w:r w:rsidR="000B707F">
              <w:rPr>
                <w:rFonts w:eastAsia="Times New Roman"/>
                <w:sz w:val="24"/>
                <w:szCs w:val="24"/>
              </w:rPr>
              <w:t>6</w:t>
            </w:r>
          </w:p>
        </w:tc>
      </w:tr>
    </w:tbl>
    <w:p w14:paraId="475D72B8" w14:textId="77777777" w:rsidR="00986960" w:rsidRPr="004669C8" w:rsidRDefault="00986960" w:rsidP="004109B8">
      <w:pPr>
        <w:autoSpaceDE/>
        <w:autoSpaceDN/>
        <w:adjustRightInd/>
        <w:rPr>
          <w:rFonts w:eastAsia="Times New Roman"/>
          <w:sz w:val="24"/>
          <w:szCs w:val="24"/>
          <w:highlight w:val="yellow"/>
        </w:rPr>
      </w:pPr>
    </w:p>
    <w:p w14:paraId="6706C8BE" w14:textId="77777777" w:rsidR="00986960" w:rsidRPr="00920010" w:rsidRDefault="00986960" w:rsidP="004109B8">
      <w:pPr>
        <w:autoSpaceDE/>
        <w:autoSpaceDN/>
        <w:adjustRightInd/>
        <w:rPr>
          <w:rFonts w:eastAsia="Times New Roman"/>
          <w:b/>
          <w:sz w:val="24"/>
          <w:szCs w:val="24"/>
        </w:rPr>
      </w:pPr>
      <w:r w:rsidRPr="00920010">
        <w:rPr>
          <w:rFonts w:eastAsia="Times New Roman"/>
          <w:b/>
          <w:sz w:val="24"/>
          <w:szCs w:val="24"/>
        </w:rPr>
        <w:t>Commercial Service</w:t>
      </w:r>
    </w:p>
    <w:tbl>
      <w:tblPr>
        <w:tblStyle w:val="TableGrid"/>
        <w:tblW w:w="9585" w:type="dxa"/>
        <w:jc w:val="center"/>
        <w:tblLook w:val="04A0" w:firstRow="1" w:lastRow="0" w:firstColumn="1" w:lastColumn="0" w:noHBand="0" w:noVBand="1"/>
      </w:tblPr>
      <w:tblGrid>
        <w:gridCol w:w="2607"/>
        <w:gridCol w:w="1163"/>
        <w:gridCol w:w="1163"/>
        <w:gridCol w:w="1163"/>
        <w:gridCol w:w="1163"/>
        <w:gridCol w:w="1163"/>
        <w:gridCol w:w="1163"/>
      </w:tblGrid>
      <w:tr w:rsidR="00FA3E5E" w:rsidRPr="004669C8" w14:paraId="0A94366E" w14:textId="77777777" w:rsidTr="00E36D27">
        <w:trPr>
          <w:jc w:val="center"/>
        </w:trPr>
        <w:tc>
          <w:tcPr>
            <w:tcW w:w="2607" w:type="dxa"/>
          </w:tcPr>
          <w:p w14:paraId="31448F0A" w14:textId="77777777" w:rsidR="00FA3E5E" w:rsidRPr="00920010" w:rsidRDefault="00424521" w:rsidP="00E36D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Cart Service</w:t>
            </w:r>
          </w:p>
        </w:tc>
        <w:tc>
          <w:tcPr>
            <w:tcW w:w="6978" w:type="dxa"/>
            <w:gridSpan w:val="6"/>
            <w:vAlign w:val="center"/>
          </w:tcPr>
          <w:p w14:paraId="2E3035FF" w14:textId="77777777" w:rsidR="00FA3E5E" w:rsidRPr="00920010" w:rsidRDefault="00FA3E5E" w:rsidP="00E36D27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Collections Per Week</w:t>
            </w:r>
          </w:p>
        </w:tc>
      </w:tr>
      <w:tr w:rsidR="00FA3E5E" w:rsidRPr="004669C8" w14:paraId="66C14F06" w14:textId="77777777" w:rsidTr="00920010">
        <w:trPr>
          <w:jc w:val="center"/>
        </w:trPr>
        <w:tc>
          <w:tcPr>
            <w:tcW w:w="2607" w:type="dxa"/>
          </w:tcPr>
          <w:p w14:paraId="72F8D5AD" w14:textId="043F1867" w:rsidR="00FA3E5E" w:rsidRPr="00920010" w:rsidRDefault="009006FA" w:rsidP="00E36D27">
            <w:pPr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920010">
              <w:rPr>
                <w:rFonts w:eastAsia="Times New Roman"/>
                <w:b/>
                <w:sz w:val="24"/>
                <w:szCs w:val="24"/>
              </w:rPr>
              <w:t>1/1/20</w:t>
            </w:r>
            <w:r w:rsidR="007E62C2" w:rsidRPr="00920010">
              <w:rPr>
                <w:rFonts w:eastAsia="Times New Roman"/>
                <w:b/>
                <w:sz w:val="24"/>
                <w:szCs w:val="24"/>
              </w:rPr>
              <w:t>2</w:t>
            </w:r>
            <w:r w:rsidR="00421A44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14:paraId="4F2A4522" w14:textId="77777777" w:rsidR="00FA3E5E" w:rsidRPr="00920010" w:rsidRDefault="00FA3E5E" w:rsidP="00E36D27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23AB09C9" w14:textId="77777777" w:rsidR="00FA3E5E" w:rsidRPr="00920010" w:rsidRDefault="00FA3E5E" w:rsidP="00E36D27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14:paraId="73A33517" w14:textId="77777777" w:rsidR="00FA3E5E" w:rsidRPr="00920010" w:rsidRDefault="00FA3E5E" w:rsidP="00E36D27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14:paraId="5738A1B9" w14:textId="77777777" w:rsidR="00FA3E5E" w:rsidRPr="00920010" w:rsidRDefault="00FA3E5E" w:rsidP="00E36D27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14:paraId="32A1257A" w14:textId="77777777" w:rsidR="00FA3E5E" w:rsidRPr="00920010" w:rsidRDefault="00FA3E5E" w:rsidP="00E36D27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14:paraId="6B27890B" w14:textId="77777777" w:rsidR="00FA3E5E" w:rsidRPr="00920010" w:rsidRDefault="00FA3E5E" w:rsidP="00E36D27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F609C" w:rsidRPr="004669C8" w14:paraId="347B6070" w14:textId="77777777" w:rsidTr="00920010">
        <w:trPr>
          <w:jc w:val="center"/>
        </w:trPr>
        <w:tc>
          <w:tcPr>
            <w:tcW w:w="2607" w:type="dxa"/>
          </w:tcPr>
          <w:p w14:paraId="210185E7" w14:textId="77777777" w:rsidR="00EF609C" w:rsidRPr="00920010" w:rsidRDefault="00EF609C" w:rsidP="00E36D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20 Gallon</w:t>
            </w:r>
          </w:p>
        </w:tc>
        <w:tc>
          <w:tcPr>
            <w:tcW w:w="1163" w:type="dxa"/>
          </w:tcPr>
          <w:p w14:paraId="527AB7E6" w14:textId="5410AC9D" w:rsidR="00EF609C" w:rsidRPr="00D17A61" w:rsidRDefault="00EF609C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43.77</w:t>
            </w:r>
          </w:p>
        </w:tc>
        <w:tc>
          <w:tcPr>
            <w:tcW w:w="1163" w:type="dxa"/>
          </w:tcPr>
          <w:p w14:paraId="48EDC93F" w14:textId="5E1C7E3A" w:rsidR="00EF609C" w:rsidRPr="00D17A61" w:rsidRDefault="00EF609C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87.54</w:t>
            </w:r>
          </w:p>
        </w:tc>
        <w:tc>
          <w:tcPr>
            <w:tcW w:w="1163" w:type="dxa"/>
          </w:tcPr>
          <w:p w14:paraId="654E55CB" w14:textId="219F603C" w:rsidR="00EF609C" w:rsidRPr="00D17A61" w:rsidRDefault="00EF609C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131.31</w:t>
            </w:r>
          </w:p>
        </w:tc>
        <w:tc>
          <w:tcPr>
            <w:tcW w:w="1163" w:type="dxa"/>
          </w:tcPr>
          <w:p w14:paraId="093E39C5" w14:textId="48174FA6" w:rsidR="00EF609C" w:rsidRPr="00D17A61" w:rsidRDefault="00EF609C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175.08</w:t>
            </w:r>
          </w:p>
        </w:tc>
        <w:tc>
          <w:tcPr>
            <w:tcW w:w="1163" w:type="dxa"/>
          </w:tcPr>
          <w:p w14:paraId="333AF90F" w14:textId="542914DF" w:rsidR="00EF609C" w:rsidRPr="00D17A61" w:rsidRDefault="00EF609C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218.85</w:t>
            </w:r>
          </w:p>
        </w:tc>
        <w:tc>
          <w:tcPr>
            <w:tcW w:w="1163" w:type="dxa"/>
          </w:tcPr>
          <w:p w14:paraId="78717AA7" w14:textId="1DB5F053" w:rsidR="00EF609C" w:rsidRPr="00D17A61" w:rsidRDefault="00EF609C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262.62</w:t>
            </w:r>
          </w:p>
        </w:tc>
      </w:tr>
      <w:tr w:rsidR="00D07366" w:rsidRPr="004669C8" w14:paraId="16940024" w14:textId="77777777" w:rsidTr="00920010">
        <w:trPr>
          <w:jc w:val="center"/>
        </w:trPr>
        <w:tc>
          <w:tcPr>
            <w:tcW w:w="2607" w:type="dxa"/>
          </w:tcPr>
          <w:p w14:paraId="7C2F879E" w14:textId="77777777" w:rsidR="00D07366" w:rsidRPr="00920010" w:rsidRDefault="00D07366" w:rsidP="00E36D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32 Gallon</w:t>
            </w:r>
          </w:p>
        </w:tc>
        <w:tc>
          <w:tcPr>
            <w:tcW w:w="1163" w:type="dxa"/>
          </w:tcPr>
          <w:p w14:paraId="4672BDEC" w14:textId="27F5F819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51.49</w:t>
            </w:r>
          </w:p>
        </w:tc>
        <w:tc>
          <w:tcPr>
            <w:tcW w:w="1163" w:type="dxa"/>
          </w:tcPr>
          <w:p w14:paraId="3AECD496" w14:textId="2852E6B1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102.98</w:t>
            </w:r>
          </w:p>
        </w:tc>
        <w:tc>
          <w:tcPr>
            <w:tcW w:w="1163" w:type="dxa"/>
          </w:tcPr>
          <w:p w14:paraId="2AA44DC5" w14:textId="64BB5A42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154.47</w:t>
            </w:r>
          </w:p>
        </w:tc>
        <w:tc>
          <w:tcPr>
            <w:tcW w:w="1163" w:type="dxa"/>
          </w:tcPr>
          <w:p w14:paraId="7C4838C8" w14:textId="2E75A3D5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205.96</w:t>
            </w:r>
          </w:p>
        </w:tc>
        <w:tc>
          <w:tcPr>
            <w:tcW w:w="1163" w:type="dxa"/>
          </w:tcPr>
          <w:p w14:paraId="79B75607" w14:textId="189864AB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257.45</w:t>
            </w:r>
          </w:p>
        </w:tc>
        <w:tc>
          <w:tcPr>
            <w:tcW w:w="1163" w:type="dxa"/>
          </w:tcPr>
          <w:p w14:paraId="096C30AD" w14:textId="731EAE24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308.94</w:t>
            </w:r>
          </w:p>
        </w:tc>
      </w:tr>
      <w:tr w:rsidR="00D07366" w:rsidRPr="004669C8" w14:paraId="3A682C4B" w14:textId="77777777" w:rsidTr="00920010">
        <w:trPr>
          <w:jc w:val="center"/>
        </w:trPr>
        <w:tc>
          <w:tcPr>
            <w:tcW w:w="2607" w:type="dxa"/>
          </w:tcPr>
          <w:p w14:paraId="46D62DC2" w14:textId="77777777" w:rsidR="00D07366" w:rsidRPr="00920010" w:rsidRDefault="00D07366" w:rsidP="00E36D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64 Gallon</w:t>
            </w:r>
          </w:p>
        </w:tc>
        <w:tc>
          <w:tcPr>
            <w:tcW w:w="1163" w:type="dxa"/>
          </w:tcPr>
          <w:p w14:paraId="21A64CA9" w14:textId="79077896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102.98</w:t>
            </w:r>
          </w:p>
        </w:tc>
        <w:tc>
          <w:tcPr>
            <w:tcW w:w="1163" w:type="dxa"/>
          </w:tcPr>
          <w:p w14:paraId="03D7B96D" w14:textId="05C1B9ED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205.96</w:t>
            </w:r>
          </w:p>
        </w:tc>
        <w:tc>
          <w:tcPr>
            <w:tcW w:w="1163" w:type="dxa"/>
          </w:tcPr>
          <w:p w14:paraId="05F14FC3" w14:textId="7F3B6BA5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308.94</w:t>
            </w:r>
          </w:p>
        </w:tc>
        <w:tc>
          <w:tcPr>
            <w:tcW w:w="1163" w:type="dxa"/>
          </w:tcPr>
          <w:p w14:paraId="158D920E" w14:textId="1EA3F3DE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411.92</w:t>
            </w:r>
          </w:p>
        </w:tc>
        <w:tc>
          <w:tcPr>
            <w:tcW w:w="1163" w:type="dxa"/>
          </w:tcPr>
          <w:p w14:paraId="7328EEFC" w14:textId="3BEC7FA9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514.90</w:t>
            </w:r>
          </w:p>
        </w:tc>
        <w:tc>
          <w:tcPr>
            <w:tcW w:w="1163" w:type="dxa"/>
          </w:tcPr>
          <w:p w14:paraId="046539D4" w14:textId="5A0649F9" w:rsidR="00D07366" w:rsidRPr="00D17A61" w:rsidRDefault="00D07366" w:rsidP="009006FA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617.88</w:t>
            </w:r>
          </w:p>
        </w:tc>
      </w:tr>
      <w:tr w:rsidR="00D07366" w14:paraId="1CF153E7" w14:textId="77777777" w:rsidTr="00920010">
        <w:trPr>
          <w:jc w:val="center"/>
        </w:trPr>
        <w:tc>
          <w:tcPr>
            <w:tcW w:w="2607" w:type="dxa"/>
          </w:tcPr>
          <w:p w14:paraId="49780E84" w14:textId="77777777" w:rsidR="00D07366" w:rsidRPr="00920010" w:rsidRDefault="00D07366" w:rsidP="00E36D27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20010">
              <w:rPr>
                <w:rFonts w:eastAsia="Times New Roman"/>
                <w:sz w:val="24"/>
                <w:szCs w:val="24"/>
              </w:rPr>
              <w:t>96 Gallon</w:t>
            </w:r>
          </w:p>
        </w:tc>
        <w:tc>
          <w:tcPr>
            <w:tcW w:w="1163" w:type="dxa"/>
          </w:tcPr>
          <w:p w14:paraId="1DD1AC8E" w14:textId="6EBB888F" w:rsidR="00D07366" w:rsidRPr="00D17A61" w:rsidRDefault="00D07366" w:rsidP="00D2033E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154.47</w:t>
            </w:r>
          </w:p>
        </w:tc>
        <w:tc>
          <w:tcPr>
            <w:tcW w:w="1163" w:type="dxa"/>
          </w:tcPr>
          <w:p w14:paraId="0FD58BD2" w14:textId="2EC0F2E9" w:rsidR="00D07366" w:rsidRPr="00D17A61" w:rsidRDefault="00D07366" w:rsidP="00D2033E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308.94</w:t>
            </w:r>
          </w:p>
        </w:tc>
        <w:tc>
          <w:tcPr>
            <w:tcW w:w="1163" w:type="dxa"/>
          </w:tcPr>
          <w:p w14:paraId="0E61AEAA" w14:textId="4C38776F" w:rsidR="00D07366" w:rsidRPr="00D17A61" w:rsidRDefault="00D07366" w:rsidP="00D2033E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B94B90">
              <w:rPr>
                <w:rFonts w:eastAsia="Times New Roman"/>
                <w:sz w:val="24"/>
                <w:szCs w:val="24"/>
              </w:rPr>
              <w:t>463.41</w:t>
            </w:r>
          </w:p>
        </w:tc>
        <w:tc>
          <w:tcPr>
            <w:tcW w:w="1163" w:type="dxa"/>
          </w:tcPr>
          <w:p w14:paraId="54766C26" w14:textId="2A55C4AB" w:rsidR="00D07366" w:rsidRPr="00D17A61" w:rsidRDefault="00D07366" w:rsidP="00D2033E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617.88</w:t>
            </w:r>
          </w:p>
        </w:tc>
        <w:tc>
          <w:tcPr>
            <w:tcW w:w="1163" w:type="dxa"/>
          </w:tcPr>
          <w:p w14:paraId="5E1FD714" w14:textId="2D5E1A42" w:rsidR="00D07366" w:rsidRPr="00D17A61" w:rsidRDefault="00D07366" w:rsidP="00D2033E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772.35</w:t>
            </w:r>
          </w:p>
        </w:tc>
        <w:tc>
          <w:tcPr>
            <w:tcW w:w="1163" w:type="dxa"/>
          </w:tcPr>
          <w:p w14:paraId="068AFBFA" w14:textId="5B7A8D8C" w:rsidR="00D07366" w:rsidRPr="00D17A61" w:rsidRDefault="00D07366" w:rsidP="00D2033E">
            <w:p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A61">
              <w:rPr>
                <w:rFonts w:eastAsia="Times New Roman"/>
                <w:sz w:val="24"/>
                <w:szCs w:val="24"/>
              </w:rPr>
              <w:t>$</w:t>
            </w:r>
            <w:r w:rsidR="00AF58CF">
              <w:rPr>
                <w:rFonts w:eastAsia="Times New Roman"/>
                <w:sz w:val="24"/>
                <w:szCs w:val="24"/>
              </w:rPr>
              <w:t>926.82</w:t>
            </w:r>
          </w:p>
        </w:tc>
      </w:tr>
    </w:tbl>
    <w:p w14:paraId="712C9397" w14:textId="77777777" w:rsidR="00FA3E5E" w:rsidRDefault="00FA3E5E" w:rsidP="00BE3B8C">
      <w:pPr>
        <w:jc w:val="center"/>
        <w:rPr>
          <w:b/>
          <w:bCs/>
          <w:sz w:val="24"/>
          <w:szCs w:val="24"/>
        </w:rPr>
      </w:pPr>
    </w:p>
    <w:p w14:paraId="5626FD6B" w14:textId="3324F2D6" w:rsidR="004109B8" w:rsidRPr="0074310C" w:rsidRDefault="00424521" w:rsidP="0074310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co</w:t>
      </w:r>
      <w:r w:rsidR="0076499C">
        <w:rPr>
          <w:bCs/>
          <w:sz w:val="24"/>
          <w:szCs w:val="24"/>
        </w:rPr>
        <w:t xml:space="preserve">mplete text of Ordinance </w:t>
      </w:r>
      <w:r w:rsidR="004725D3">
        <w:rPr>
          <w:bCs/>
          <w:sz w:val="24"/>
          <w:szCs w:val="24"/>
        </w:rPr>
        <w:t xml:space="preserve">No. </w:t>
      </w:r>
      <w:r w:rsidR="00995009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 xml:space="preserve"> is available for public review at the District offices and at the District’s web site www.lgvsd.org.</w:t>
      </w:r>
    </w:p>
    <w:p w14:paraId="30D4CB90" w14:textId="77777777" w:rsidR="00C80B8A" w:rsidRDefault="00C80B8A" w:rsidP="00B101C8">
      <w:pPr>
        <w:autoSpaceDE/>
        <w:autoSpaceDN/>
        <w:adjustRightInd/>
        <w:spacing w:line="360" w:lineRule="auto"/>
        <w:jc w:val="center"/>
        <w:rPr>
          <w:rFonts w:eastAsia="Times New Roman"/>
          <w:sz w:val="24"/>
          <w:szCs w:val="24"/>
        </w:rPr>
      </w:pPr>
    </w:p>
    <w:p w14:paraId="6E92170C" w14:textId="77777777" w:rsidR="00B101C8" w:rsidRPr="00B101C8" w:rsidRDefault="00B101C8" w:rsidP="00B101C8">
      <w:pPr>
        <w:autoSpaceDE/>
        <w:autoSpaceDN/>
        <w:adjustRightInd/>
        <w:spacing w:line="360" w:lineRule="auto"/>
        <w:jc w:val="center"/>
        <w:rPr>
          <w:rFonts w:eastAsia="Times New Roman"/>
          <w:sz w:val="24"/>
          <w:szCs w:val="24"/>
        </w:rPr>
      </w:pPr>
      <w:r w:rsidRPr="00B101C8">
        <w:rPr>
          <w:rFonts w:eastAsia="Times New Roman"/>
          <w:sz w:val="24"/>
          <w:szCs w:val="24"/>
        </w:rPr>
        <w:t>*   *   *   *   *   *   *   *   *   *</w:t>
      </w:r>
    </w:p>
    <w:p w14:paraId="758B08FD" w14:textId="77777777" w:rsidR="00B101C8" w:rsidRPr="00B101C8" w:rsidRDefault="00B101C8" w:rsidP="00B101C8">
      <w:pPr>
        <w:autoSpaceDE/>
        <w:autoSpaceDN/>
        <w:adjustRightInd/>
        <w:spacing w:line="360" w:lineRule="auto"/>
        <w:jc w:val="center"/>
        <w:rPr>
          <w:rFonts w:eastAsia="Times New Roman"/>
          <w:sz w:val="24"/>
          <w:szCs w:val="24"/>
        </w:rPr>
      </w:pPr>
    </w:p>
    <w:p w14:paraId="71E4C5D2" w14:textId="1D972A34" w:rsidR="00B101C8" w:rsidRPr="00B101C8" w:rsidRDefault="00B101C8" w:rsidP="00B101C8">
      <w:pPr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B101C8">
        <w:rPr>
          <w:rFonts w:eastAsia="Times New Roman"/>
          <w:sz w:val="24"/>
          <w:szCs w:val="24"/>
        </w:rPr>
        <w:t>I hereby certify that the foregoing</w:t>
      </w:r>
      <w:r w:rsidR="0014497E">
        <w:rPr>
          <w:rFonts w:eastAsia="Times New Roman"/>
          <w:sz w:val="24"/>
          <w:szCs w:val="24"/>
        </w:rPr>
        <w:t xml:space="preserve"> is full, true, and correct summary</w:t>
      </w:r>
      <w:r w:rsidRPr="00B101C8">
        <w:rPr>
          <w:rFonts w:eastAsia="Times New Roman"/>
          <w:sz w:val="24"/>
          <w:szCs w:val="24"/>
        </w:rPr>
        <w:t xml:space="preserve"> of the Ordinance duly and regularly passed and adopted by the Sanitary Board of the Las Gallinas Valley Sanitary District </w:t>
      </w:r>
      <w:r w:rsidRPr="00B101C8">
        <w:rPr>
          <w:rFonts w:eastAsia="Times New Roman"/>
          <w:sz w:val="24"/>
          <w:szCs w:val="24"/>
        </w:rPr>
        <w:lastRenderedPageBreak/>
        <w:t xml:space="preserve">of Marin County, California, at a meeting hereof held on </w:t>
      </w:r>
      <w:r w:rsidR="00867093">
        <w:rPr>
          <w:rFonts w:eastAsia="Times New Roman"/>
          <w:sz w:val="24"/>
          <w:szCs w:val="24"/>
        </w:rPr>
        <w:t>December 1</w:t>
      </w:r>
      <w:r w:rsidR="00995009">
        <w:rPr>
          <w:rFonts w:eastAsia="Times New Roman"/>
          <w:sz w:val="24"/>
          <w:szCs w:val="24"/>
        </w:rPr>
        <w:t>8</w:t>
      </w:r>
      <w:r w:rsidR="00D2033E">
        <w:rPr>
          <w:rFonts w:eastAsia="Times New Roman"/>
          <w:sz w:val="24"/>
          <w:szCs w:val="24"/>
        </w:rPr>
        <w:t>, 20</w:t>
      </w:r>
      <w:r w:rsidR="008F6758">
        <w:rPr>
          <w:rFonts w:eastAsia="Times New Roman"/>
          <w:sz w:val="24"/>
          <w:szCs w:val="24"/>
        </w:rPr>
        <w:t>2</w:t>
      </w:r>
      <w:r w:rsidR="00995009">
        <w:rPr>
          <w:rFonts w:eastAsia="Times New Roman"/>
          <w:sz w:val="24"/>
          <w:szCs w:val="24"/>
        </w:rPr>
        <w:t>5</w:t>
      </w:r>
      <w:r w:rsidRPr="00B101C8">
        <w:rPr>
          <w:rFonts w:eastAsia="Times New Roman"/>
          <w:sz w:val="24"/>
          <w:szCs w:val="24"/>
        </w:rPr>
        <w:t>, by the following vote of members thereof:</w:t>
      </w:r>
    </w:p>
    <w:p w14:paraId="7086097D" w14:textId="77777777" w:rsidR="00B101C8" w:rsidRPr="00B101C8" w:rsidRDefault="00B101C8" w:rsidP="00B101C8">
      <w:pPr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14:paraId="6126F885" w14:textId="566AF7E7" w:rsidR="00B101C8" w:rsidRPr="00B101C8" w:rsidRDefault="00B101C8" w:rsidP="00B101C8">
      <w:pPr>
        <w:autoSpaceDE/>
        <w:autoSpaceDN/>
        <w:adjustRightInd/>
        <w:spacing w:line="360" w:lineRule="auto"/>
        <w:jc w:val="both"/>
        <w:rPr>
          <w:rFonts w:eastAsia="Times New Roman"/>
          <w:sz w:val="22"/>
          <w:szCs w:val="22"/>
        </w:rPr>
      </w:pPr>
      <w:r w:rsidRPr="00B101C8">
        <w:rPr>
          <w:rFonts w:eastAsia="Times New Roman"/>
          <w:sz w:val="24"/>
          <w:szCs w:val="24"/>
        </w:rPr>
        <w:t xml:space="preserve">AYES: </w:t>
      </w:r>
      <w:r w:rsidR="00516C4C" w:rsidRPr="001E3408">
        <w:rPr>
          <w:rFonts w:eastAsia="Times New Roman"/>
          <w:sz w:val="24"/>
          <w:szCs w:val="24"/>
        </w:rPr>
        <w:t xml:space="preserve"> </w:t>
      </w:r>
      <w:r w:rsidR="006E2080">
        <w:rPr>
          <w:rFonts w:eastAsia="Times New Roman"/>
          <w:sz w:val="24"/>
          <w:szCs w:val="24"/>
        </w:rPr>
        <w:t>Clark, Lavrov, Murray, Robards, Yezman</w:t>
      </w:r>
    </w:p>
    <w:p w14:paraId="2F18E6C0" w14:textId="6A19F71C" w:rsidR="00B101C8" w:rsidRPr="00B101C8" w:rsidRDefault="00B101C8" w:rsidP="00B101C8">
      <w:p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B101C8">
        <w:rPr>
          <w:rFonts w:eastAsia="Times New Roman"/>
          <w:sz w:val="24"/>
          <w:szCs w:val="24"/>
        </w:rPr>
        <w:t xml:space="preserve">NOES: </w:t>
      </w:r>
      <w:r w:rsidR="00CD367A">
        <w:rPr>
          <w:rFonts w:eastAsia="Times New Roman"/>
          <w:sz w:val="24"/>
          <w:szCs w:val="24"/>
        </w:rPr>
        <w:t xml:space="preserve"> </w:t>
      </w:r>
      <w:r w:rsidR="008F6758">
        <w:rPr>
          <w:rFonts w:eastAsia="Times New Roman"/>
          <w:sz w:val="24"/>
          <w:szCs w:val="24"/>
        </w:rPr>
        <w:t>None</w:t>
      </w:r>
    </w:p>
    <w:p w14:paraId="695924D2" w14:textId="77777777" w:rsidR="00C51964" w:rsidRDefault="00B101C8" w:rsidP="00B101C8">
      <w:p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B101C8">
        <w:rPr>
          <w:rFonts w:eastAsia="Times New Roman"/>
          <w:sz w:val="24"/>
          <w:szCs w:val="24"/>
        </w:rPr>
        <w:t xml:space="preserve">ABSTAIN: </w:t>
      </w:r>
      <w:r w:rsidR="00CD367A">
        <w:rPr>
          <w:rFonts w:eastAsia="Times New Roman"/>
          <w:sz w:val="24"/>
          <w:szCs w:val="24"/>
        </w:rPr>
        <w:t>None</w:t>
      </w:r>
    </w:p>
    <w:p w14:paraId="1BE67AA9" w14:textId="77777777" w:rsidR="00424521" w:rsidRDefault="00516C4C" w:rsidP="00B101C8">
      <w:p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ABSENT:</w:t>
      </w:r>
      <w:r w:rsidR="00CD367A">
        <w:rPr>
          <w:rFonts w:eastAsia="Times New Roman"/>
          <w:sz w:val="24"/>
          <w:szCs w:val="24"/>
        </w:rPr>
        <w:t xml:space="preserve">  None</w:t>
      </w:r>
    </w:p>
    <w:p w14:paraId="73FC6E39" w14:textId="77777777" w:rsidR="00B101C8" w:rsidRPr="00B101C8" w:rsidRDefault="00424521" w:rsidP="00B101C8">
      <w:p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B101C8" w:rsidRPr="00B101C8">
        <w:rPr>
          <w:rFonts w:eastAsia="Times New Roman"/>
          <w:sz w:val="24"/>
          <w:szCs w:val="24"/>
        </w:rPr>
        <w:tab/>
      </w:r>
      <w:r w:rsidR="00B101C8" w:rsidRPr="00B101C8">
        <w:rPr>
          <w:rFonts w:eastAsia="Times New Roman"/>
          <w:sz w:val="24"/>
          <w:szCs w:val="24"/>
        </w:rPr>
        <w:tab/>
        <w:t xml:space="preserve">     </w:t>
      </w:r>
      <w:r w:rsidR="00B101C8" w:rsidRPr="00B101C8">
        <w:rPr>
          <w:rFonts w:eastAsia="Times New Roman"/>
          <w:sz w:val="24"/>
          <w:szCs w:val="24"/>
        </w:rPr>
        <w:tab/>
      </w:r>
      <w:r w:rsidR="00B101C8" w:rsidRPr="00B101C8">
        <w:rPr>
          <w:rFonts w:eastAsia="Times New Roman"/>
          <w:sz w:val="24"/>
          <w:szCs w:val="24"/>
        </w:rPr>
        <w:tab/>
      </w:r>
    </w:p>
    <w:p w14:paraId="361D6FD4" w14:textId="037B251A" w:rsidR="0083099D" w:rsidRDefault="00B101C8" w:rsidP="0083099D">
      <w:pPr>
        <w:keepNext/>
        <w:autoSpaceDE/>
        <w:autoSpaceDN/>
        <w:adjustRightInd/>
        <w:outlineLvl w:val="1"/>
        <w:rPr>
          <w:rFonts w:eastAsia="Times New Roman"/>
          <w:sz w:val="24"/>
          <w:szCs w:val="24"/>
        </w:rPr>
      </w:pPr>
      <w:r w:rsidRPr="00B101C8">
        <w:rPr>
          <w:rFonts w:eastAsia="Times New Roman"/>
          <w:sz w:val="24"/>
          <w:szCs w:val="24"/>
        </w:rPr>
        <w:tab/>
      </w:r>
      <w:r w:rsidRPr="00B101C8">
        <w:rPr>
          <w:rFonts w:eastAsia="Times New Roman"/>
          <w:sz w:val="24"/>
          <w:szCs w:val="24"/>
        </w:rPr>
        <w:tab/>
      </w:r>
      <w:r w:rsidRPr="00B101C8">
        <w:rPr>
          <w:rFonts w:eastAsia="Times New Roman"/>
          <w:sz w:val="24"/>
          <w:szCs w:val="24"/>
        </w:rPr>
        <w:tab/>
      </w:r>
      <w:r w:rsidRPr="00B101C8">
        <w:rPr>
          <w:rFonts w:eastAsia="Times New Roman"/>
          <w:sz w:val="24"/>
          <w:szCs w:val="24"/>
        </w:rPr>
        <w:tab/>
      </w:r>
      <w:r w:rsidRPr="00B101C8">
        <w:rPr>
          <w:rFonts w:eastAsia="Times New Roman"/>
          <w:sz w:val="24"/>
          <w:szCs w:val="24"/>
        </w:rPr>
        <w:tab/>
      </w:r>
      <w:r w:rsidRPr="00B101C8">
        <w:rPr>
          <w:rFonts w:eastAsia="Times New Roman"/>
          <w:sz w:val="24"/>
          <w:szCs w:val="24"/>
        </w:rPr>
        <w:tab/>
      </w:r>
      <w:r w:rsidR="00424521">
        <w:rPr>
          <w:rFonts w:eastAsia="Times New Roman"/>
          <w:sz w:val="24"/>
          <w:szCs w:val="24"/>
        </w:rPr>
        <w:t xml:space="preserve">/s/ </w:t>
      </w:r>
      <w:r w:rsidR="0083099D">
        <w:rPr>
          <w:rFonts w:eastAsia="Times New Roman"/>
          <w:sz w:val="24"/>
          <w:szCs w:val="24"/>
        </w:rPr>
        <w:t>Teresa Lerch</w:t>
      </w:r>
      <w:r w:rsidRPr="00B101C8">
        <w:rPr>
          <w:rFonts w:eastAsia="Times New Roman"/>
          <w:sz w:val="24"/>
          <w:szCs w:val="24"/>
        </w:rPr>
        <w:t xml:space="preserve">, </w:t>
      </w:r>
      <w:r w:rsidR="00EA249A">
        <w:rPr>
          <w:rFonts w:eastAsia="Times New Roman"/>
          <w:sz w:val="24"/>
          <w:szCs w:val="24"/>
        </w:rPr>
        <w:t>Board</w:t>
      </w:r>
      <w:r w:rsidRPr="00B101C8">
        <w:rPr>
          <w:rFonts w:eastAsia="Times New Roman"/>
          <w:sz w:val="24"/>
          <w:szCs w:val="24"/>
        </w:rPr>
        <w:t xml:space="preserve"> Secretary</w:t>
      </w:r>
    </w:p>
    <w:p w14:paraId="2257D9E1" w14:textId="77777777" w:rsidR="00B101C8" w:rsidRPr="00B101C8" w:rsidRDefault="00B101C8" w:rsidP="0083099D">
      <w:pPr>
        <w:keepNext/>
        <w:autoSpaceDE/>
        <w:autoSpaceDN/>
        <w:adjustRightInd/>
        <w:outlineLvl w:val="1"/>
        <w:rPr>
          <w:rFonts w:eastAsia="Times New Roman"/>
          <w:sz w:val="24"/>
          <w:szCs w:val="24"/>
        </w:rPr>
      </w:pPr>
      <w:r w:rsidRPr="00B101C8">
        <w:rPr>
          <w:rFonts w:eastAsia="Times New Roman"/>
          <w:sz w:val="24"/>
          <w:szCs w:val="24"/>
        </w:rPr>
        <w:tab/>
      </w:r>
      <w:r w:rsidRPr="00B101C8">
        <w:rPr>
          <w:rFonts w:eastAsia="Times New Roman"/>
          <w:sz w:val="24"/>
          <w:szCs w:val="24"/>
        </w:rPr>
        <w:tab/>
      </w:r>
      <w:r w:rsidRPr="00B101C8">
        <w:rPr>
          <w:rFonts w:eastAsia="Times New Roman"/>
          <w:sz w:val="24"/>
          <w:szCs w:val="24"/>
        </w:rPr>
        <w:tab/>
      </w:r>
      <w:r w:rsidRPr="00B101C8">
        <w:rPr>
          <w:rFonts w:eastAsia="Times New Roman"/>
          <w:sz w:val="24"/>
          <w:szCs w:val="24"/>
        </w:rPr>
        <w:tab/>
      </w:r>
      <w:r w:rsidRPr="00B101C8">
        <w:rPr>
          <w:rFonts w:eastAsia="Times New Roman"/>
          <w:sz w:val="24"/>
          <w:szCs w:val="24"/>
        </w:rPr>
        <w:tab/>
      </w:r>
      <w:r w:rsidRPr="00B101C8">
        <w:rPr>
          <w:rFonts w:eastAsia="Times New Roman"/>
          <w:sz w:val="24"/>
          <w:szCs w:val="24"/>
        </w:rPr>
        <w:tab/>
        <w:t>Las Gallinas Valley Sanitary District</w:t>
      </w:r>
    </w:p>
    <w:p w14:paraId="1F4E599E" w14:textId="77777777" w:rsidR="00B101C8" w:rsidRPr="00B101C8" w:rsidRDefault="00B101C8" w:rsidP="00B101C8">
      <w:pPr>
        <w:autoSpaceDE/>
        <w:autoSpaceDN/>
        <w:adjustRightInd/>
        <w:rPr>
          <w:rFonts w:eastAsia="Times New Roman"/>
          <w:sz w:val="24"/>
          <w:szCs w:val="24"/>
        </w:rPr>
      </w:pPr>
    </w:p>
    <w:p w14:paraId="1BD0C3D0" w14:textId="77777777" w:rsidR="00B101C8" w:rsidRPr="00B101C8" w:rsidRDefault="00B101C8" w:rsidP="00B101C8">
      <w:p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B101C8">
        <w:rPr>
          <w:rFonts w:eastAsia="Times New Roman"/>
          <w:sz w:val="24"/>
          <w:szCs w:val="24"/>
        </w:rPr>
        <w:t>APPROVED:</w:t>
      </w:r>
    </w:p>
    <w:p w14:paraId="32F4CBFE" w14:textId="77777777" w:rsidR="00B101C8" w:rsidRPr="00B101C8" w:rsidRDefault="00B101C8" w:rsidP="00B101C8">
      <w:pPr>
        <w:keepNext/>
        <w:autoSpaceDE/>
        <w:autoSpaceDN/>
        <w:adjustRightInd/>
        <w:jc w:val="both"/>
        <w:outlineLvl w:val="1"/>
        <w:rPr>
          <w:rFonts w:eastAsia="Times New Roman"/>
          <w:sz w:val="24"/>
          <w:szCs w:val="24"/>
        </w:rPr>
      </w:pPr>
    </w:p>
    <w:p w14:paraId="7442A969" w14:textId="5E493BFC" w:rsidR="00B101C8" w:rsidRPr="00B101C8" w:rsidRDefault="00847A8D" w:rsidP="00B101C8">
      <w:pPr>
        <w:keepNext/>
        <w:autoSpaceDE/>
        <w:autoSpaceDN/>
        <w:adjustRightInd/>
        <w:jc w:val="both"/>
        <w:outlineLvl w:val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/s/ </w:t>
      </w:r>
      <w:r w:rsidR="00995009">
        <w:rPr>
          <w:rFonts w:eastAsia="Times New Roman"/>
          <w:sz w:val="24"/>
          <w:szCs w:val="24"/>
        </w:rPr>
        <w:t>Gary E. Robards</w:t>
      </w:r>
      <w:r>
        <w:rPr>
          <w:rFonts w:eastAsia="Times New Roman"/>
          <w:sz w:val="24"/>
          <w:szCs w:val="24"/>
        </w:rPr>
        <w:t xml:space="preserve">, </w:t>
      </w:r>
      <w:r w:rsidR="006E2080">
        <w:rPr>
          <w:rFonts w:eastAsia="Times New Roman"/>
          <w:sz w:val="24"/>
          <w:szCs w:val="24"/>
        </w:rPr>
        <w:t>President</w:t>
      </w:r>
    </w:p>
    <w:p w14:paraId="3C6A0EB1" w14:textId="77777777" w:rsidR="00B101C8" w:rsidRPr="00B101C8" w:rsidRDefault="00B101C8" w:rsidP="00B101C8">
      <w:pPr>
        <w:keepNext/>
        <w:autoSpaceDE/>
        <w:autoSpaceDN/>
        <w:adjustRightInd/>
        <w:jc w:val="both"/>
        <w:outlineLvl w:val="1"/>
        <w:rPr>
          <w:rFonts w:eastAsia="Times New Roman"/>
          <w:sz w:val="24"/>
          <w:szCs w:val="24"/>
        </w:rPr>
      </w:pPr>
      <w:r w:rsidRPr="00B101C8">
        <w:rPr>
          <w:rFonts w:eastAsia="Times New Roman"/>
          <w:sz w:val="24"/>
          <w:szCs w:val="24"/>
        </w:rPr>
        <w:t>Las Gallinas Valley Sanitary District</w:t>
      </w:r>
    </w:p>
    <w:p w14:paraId="4BC2655B" w14:textId="77777777" w:rsidR="001D23A0" w:rsidRDefault="001D23A0">
      <w:pPr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1D23A0" w:rsidSect="00557AA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A32E" w14:textId="77777777" w:rsidR="002804C9" w:rsidRDefault="002804C9" w:rsidP="00893001">
      <w:r>
        <w:separator/>
      </w:r>
    </w:p>
  </w:endnote>
  <w:endnote w:type="continuationSeparator" w:id="0">
    <w:p w14:paraId="424282F4" w14:textId="77777777" w:rsidR="002804C9" w:rsidRDefault="002804C9" w:rsidP="0089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31B7" w14:textId="77777777" w:rsidR="002804C9" w:rsidRDefault="002804C9" w:rsidP="00893001">
      <w:r>
        <w:separator/>
      </w:r>
    </w:p>
  </w:footnote>
  <w:footnote w:type="continuationSeparator" w:id="0">
    <w:p w14:paraId="6A2B7CF5" w14:textId="77777777" w:rsidR="002804C9" w:rsidRDefault="002804C9" w:rsidP="0089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8C0"/>
    <w:multiLevelType w:val="hybridMultilevel"/>
    <w:tmpl w:val="ADC4E69A"/>
    <w:lvl w:ilvl="0" w:tplc="EC60C0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B527452">
      <w:start w:val="3"/>
      <w:numFmt w:val="upp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0893EE5"/>
    <w:multiLevelType w:val="hybridMultilevel"/>
    <w:tmpl w:val="3D24DE20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E845CF"/>
    <w:multiLevelType w:val="hybridMultilevel"/>
    <w:tmpl w:val="0F1879CC"/>
    <w:lvl w:ilvl="0" w:tplc="B88EC39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7A74F4"/>
    <w:multiLevelType w:val="hybridMultilevel"/>
    <w:tmpl w:val="29806A6C"/>
    <w:lvl w:ilvl="0" w:tplc="0DD89E66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4059D"/>
    <w:multiLevelType w:val="hybridMultilevel"/>
    <w:tmpl w:val="2F9E1958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741235"/>
    <w:multiLevelType w:val="hybridMultilevel"/>
    <w:tmpl w:val="B4BC38FC"/>
    <w:lvl w:ilvl="0" w:tplc="F4A850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7E38D1"/>
    <w:multiLevelType w:val="hybridMultilevel"/>
    <w:tmpl w:val="F30CD498"/>
    <w:lvl w:ilvl="0" w:tplc="C270C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5278">
    <w:abstractNumId w:val="5"/>
  </w:num>
  <w:num w:numId="2" w16cid:durableId="444618135">
    <w:abstractNumId w:val="0"/>
  </w:num>
  <w:num w:numId="3" w16cid:durableId="1229151017">
    <w:abstractNumId w:val="4"/>
  </w:num>
  <w:num w:numId="4" w16cid:durableId="483159924">
    <w:abstractNumId w:val="1"/>
  </w:num>
  <w:num w:numId="5" w16cid:durableId="1704482658">
    <w:abstractNumId w:val="3"/>
  </w:num>
  <w:num w:numId="6" w16cid:durableId="1152136104">
    <w:abstractNumId w:val="2"/>
  </w:num>
  <w:num w:numId="7" w16cid:durableId="503278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8C"/>
    <w:rsid w:val="00010269"/>
    <w:rsid w:val="00013B5D"/>
    <w:rsid w:val="00017F98"/>
    <w:rsid w:val="0002195D"/>
    <w:rsid w:val="00024DB4"/>
    <w:rsid w:val="0003620F"/>
    <w:rsid w:val="00040851"/>
    <w:rsid w:val="0005166B"/>
    <w:rsid w:val="0006363D"/>
    <w:rsid w:val="00072B6D"/>
    <w:rsid w:val="000B2D31"/>
    <w:rsid w:val="000B707F"/>
    <w:rsid w:val="000D5F5B"/>
    <w:rsid w:val="0010050B"/>
    <w:rsid w:val="001120F8"/>
    <w:rsid w:val="0014497E"/>
    <w:rsid w:val="00191F6D"/>
    <w:rsid w:val="001A58E2"/>
    <w:rsid w:val="001C268C"/>
    <w:rsid w:val="001C358A"/>
    <w:rsid w:val="001C5D02"/>
    <w:rsid w:val="001D23A0"/>
    <w:rsid w:val="001E3408"/>
    <w:rsid w:val="001F2293"/>
    <w:rsid w:val="0023671A"/>
    <w:rsid w:val="002367E7"/>
    <w:rsid w:val="002804C9"/>
    <w:rsid w:val="00286587"/>
    <w:rsid w:val="00302043"/>
    <w:rsid w:val="00305BC0"/>
    <w:rsid w:val="00335540"/>
    <w:rsid w:val="00392585"/>
    <w:rsid w:val="003B6258"/>
    <w:rsid w:val="003C7BDC"/>
    <w:rsid w:val="003D174A"/>
    <w:rsid w:val="003E08B8"/>
    <w:rsid w:val="004109B8"/>
    <w:rsid w:val="00412873"/>
    <w:rsid w:val="00415DD8"/>
    <w:rsid w:val="00421A44"/>
    <w:rsid w:val="00424521"/>
    <w:rsid w:val="00434ACD"/>
    <w:rsid w:val="00450F9E"/>
    <w:rsid w:val="004669C8"/>
    <w:rsid w:val="004725D3"/>
    <w:rsid w:val="00486537"/>
    <w:rsid w:val="004C340B"/>
    <w:rsid w:val="004F3834"/>
    <w:rsid w:val="0051357A"/>
    <w:rsid w:val="00516C4C"/>
    <w:rsid w:val="00532307"/>
    <w:rsid w:val="0054243E"/>
    <w:rsid w:val="00547FEC"/>
    <w:rsid w:val="0055351D"/>
    <w:rsid w:val="00557AA2"/>
    <w:rsid w:val="00585F87"/>
    <w:rsid w:val="0059647B"/>
    <w:rsid w:val="005E499A"/>
    <w:rsid w:val="005F0A63"/>
    <w:rsid w:val="00606206"/>
    <w:rsid w:val="00621410"/>
    <w:rsid w:val="006517F9"/>
    <w:rsid w:val="006575E9"/>
    <w:rsid w:val="0066136E"/>
    <w:rsid w:val="00671094"/>
    <w:rsid w:val="00671251"/>
    <w:rsid w:val="00671AC8"/>
    <w:rsid w:val="00676E6B"/>
    <w:rsid w:val="00687C1C"/>
    <w:rsid w:val="006924F1"/>
    <w:rsid w:val="006A5FB4"/>
    <w:rsid w:val="006C2111"/>
    <w:rsid w:val="006E2080"/>
    <w:rsid w:val="007040B7"/>
    <w:rsid w:val="00705AA6"/>
    <w:rsid w:val="00714737"/>
    <w:rsid w:val="00716699"/>
    <w:rsid w:val="00720CEE"/>
    <w:rsid w:val="0074310C"/>
    <w:rsid w:val="00745EA0"/>
    <w:rsid w:val="00757D04"/>
    <w:rsid w:val="00760D9D"/>
    <w:rsid w:val="0076499C"/>
    <w:rsid w:val="0079190C"/>
    <w:rsid w:val="00796252"/>
    <w:rsid w:val="007B499E"/>
    <w:rsid w:val="007D0DD8"/>
    <w:rsid w:val="007E62C2"/>
    <w:rsid w:val="007F79BF"/>
    <w:rsid w:val="0080107A"/>
    <w:rsid w:val="0083099D"/>
    <w:rsid w:val="00847A8D"/>
    <w:rsid w:val="00857BA4"/>
    <w:rsid w:val="008602C1"/>
    <w:rsid w:val="00862F0B"/>
    <w:rsid w:val="00867093"/>
    <w:rsid w:val="008924C2"/>
    <w:rsid w:val="00893001"/>
    <w:rsid w:val="008A7C51"/>
    <w:rsid w:val="008B5947"/>
    <w:rsid w:val="008D51F7"/>
    <w:rsid w:val="008E2F02"/>
    <w:rsid w:val="008F1047"/>
    <w:rsid w:val="008F6758"/>
    <w:rsid w:val="009006FA"/>
    <w:rsid w:val="00911B5B"/>
    <w:rsid w:val="00920010"/>
    <w:rsid w:val="0093481D"/>
    <w:rsid w:val="00955B06"/>
    <w:rsid w:val="009660F4"/>
    <w:rsid w:val="009804EE"/>
    <w:rsid w:val="00986960"/>
    <w:rsid w:val="00995009"/>
    <w:rsid w:val="009A64C8"/>
    <w:rsid w:val="009D1091"/>
    <w:rsid w:val="009F08AD"/>
    <w:rsid w:val="00A0337C"/>
    <w:rsid w:val="00A06671"/>
    <w:rsid w:val="00A25B8A"/>
    <w:rsid w:val="00A25F54"/>
    <w:rsid w:val="00A35CD6"/>
    <w:rsid w:val="00A40341"/>
    <w:rsid w:val="00A70CE4"/>
    <w:rsid w:val="00A718FB"/>
    <w:rsid w:val="00A921E7"/>
    <w:rsid w:val="00A92D6B"/>
    <w:rsid w:val="00AD6B36"/>
    <w:rsid w:val="00AF2F30"/>
    <w:rsid w:val="00AF58CF"/>
    <w:rsid w:val="00B101C8"/>
    <w:rsid w:val="00B224BD"/>
    <w:rsid w:val="00B6423D"/>
    <w:rsid w:val="00B94B90"/>
    <w:rsid w:val="00BA4CCD"/>
    <w:rsid w:val="00BC72DA"/>
    <w:rsid w:val="00BE3B8C"/>
    <w:rsid w:val="00C27C1B"/>
    <w:rsid w:val="00C35A5A"/>
    <w:rsid w:val="00C4250D"/>
    <w:rsid w:val="00C43BAE"/>
    <w:rsid w:val="00C51964"/>
    <w:rsid w:val="00C61C31"/>
    <w:rsid w:val="00C71B59"/>
    <w:rsid w:val="00C71F7A"/>
    <w:rsid w:val="00C80B8A"/>
    <w:rsid w:val="00C94EE7"/>
    <w:rsid w:val="00CA5F1F"/>
    <w:rsid w:val="00CA61CE"/>
    <w:rsid w:val="00CB2B25"/>
    <w:rsid w:val="00CD367A"/>
    <w:rsid w:val="00CF674D"/>
    <w:rsid w:val="00D067BA"/>
    <w:rsid w:val="00D072A6"/>
    <w:rsid w:val="00D07366"/>
    <w:rsid w:val="00D17A61"/>
    <w:rsid w:val="00D2033E"/>
    <w:rsid w:val="00D35775"/>
    <w:rsid w:val="00D52B4D"/>
    <w:rsid w:val="00D57771"/>
    <w:rsid w:val="00DA3FF7"/>
    <w:rsid w:val="00DE5FC8"/>
    <w:rsid w:val="00E07A9B"/>
    <w:rsid w:val="00E13CD8"/>
    <w:rsid w:val="00E36D27"/>
    <w:rsid w:val="00E54A4D"/>
    <w:rsid w:val="00E65CB7"/>
    <w:rsid w:val="00E8479F"/>
    <w:rsid w:val="00EA249A"/>
    <w:rsid w:val="00EF2A14"/>
    <w:rsid w:val="00EF30CA"/>
    <w:rsid w:val="00EF609C"/>
    <w:rsid w:val="00EF7313"/>
    <w:rsid w:val="00F0175E"/>
    <w:rsid w:val="00F03594"/>
    <w:rsid w:val="00F25A03"/>
    <w:rsid w:val="00F509DB"/>
    <w:rsid w:val="00F73C8A"/>
    <w:rsid w:val="00F942DF"/>
    <w:rsid w:val="00F9663A"/>
    <w:rsid w:val="00FA3E5E"/>
    <w:rsid w:val="00FA4474"/>
    <w:rsid w:val="00FA70EA"/>
    <w:rsid w:val="00F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0CA6190"/>
  <w15:docId w15:val="{0D650487-B124-454D-8762-D6CE19B0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1">
    <w:name w:val="Body Text I1"/>
    <w:uiPriority w:val="99"/>
    <w:rsid w:val="00BE3B8C"/>
    <w:pPr>
      <w:tabs>
        <w:tab w:val="left" w:pos="0"/>
        <w:tab w:val="left" w:pos="7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TextIn">
    <w:name w:val="Body Text In"/>
    <w:uiPriority w:val="99"/>
    <w:rsid w:val="00BE3B8C"/>
    <w:pPr>
      <w:tabs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360" w:lineRule="auto"/>
      <w:ind w:left="1824"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0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3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00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3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001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671094"/>
  </w:style>
  <w:style w:type="paragraph" w:styleId="ListParagraph">
    <w:name w:val="List Paragraph"/>
    <w:basedOn w:val="Normal"/>
    <w:uiPriority w:val="34"/>
    <w:qFormat/>
    <w:rsid w:val="007B499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166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6699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4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C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CC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CCD"/>
    <w:rPr>
      <w:rFonts w:ascii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01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01C8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8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16ED-4AEE-4DC5-BFB7-A0C97F66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Charina Cruz</dc:creator>
  <cp:lastModifiedBy>Teresa Lerch</cp:lastModifiedBy>
  <cp:revision>7</cp:revision>
  <cp:lastPrinted>2025-12-03T22:16:00Z</cp:lastPrinted>
  <dcterms:created xsi:type="dcterms:W3CDTF">2025-12-03T19:54:00Z</dcterms:created>
  <dcterms:modified xsi:type="dcterms:W3CDTF">2025-12-03T22:18:00Z</dcterms:modified>
</cp:coreProperties>
</file>